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F9" w:rsidRDefault="005274F9" w:rsidP="00054039">
      <w:pPr>
        <w:spacing w:line="240" w:lineRule="auto"/>
        <w:rPr>
          <w:b/>
          <w:sz w:val="28"/>
          <w:szCs w:val="28"/>
        </w:rPr>
        <w:sectPr w:rsidR="005274F9" w:rsidSect="005274F9">
          <w:pgSz w:w="12240" w:h="15840"/>
          <w:pgMar w:top="720" w:right="1440" w:bottom="1440" w:left="1440" w:header="720" w:footer="720" w:gutter="0"/>
          <w:cols w:space="720"/>
          <w:docGrid w:linePitch="360"/>
        </w:sectPr>
      </w:pPr>
      <w:r>
        <w:rPr>
          <w:b/>
          <w:noProof/>
          <w:sz w:val="28"/>
          <w:szCs w:val="28"/>
        </w:rPr>
        <w:drawing>
          <wp:inline distT="0" distB="0" distL="0" distR="0">
            <wp:extent cx="2510287" cy="61872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 2010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305" cy="620697"/>
                    </a:xfrm>
                    <a:prstGeom prst="rect">
                      <a:avLst/>
                    </a:prstGeom>
                  </pic:spPr>
                </pic:pic>
              </a:graphicData>
            </a:graphic>
          </wp:inline>
        </w:drawing>
      </w:r>
      <w:r>
        <w:rPr>
          <w:b/>
          <w:sz w:val="28"/>
          <w:szCs w:val="28"/>
        </w:rPr>
        <w:t xml:space="preserve">                                              </w:t>
      </w:r>
      <w:r w:rsidR="00C84CAC">
        <w:rPr>
          <w:b/>
          <w:sz w:val="28"/>
          <w:szCs w:val="28"/>
        </w:rPr>
        <w:t xml:space="preserve">  </w:t>
      </w:r>
      <w:r>
        <w:rPr>
          <w:b/>
          <w:sz w:val="28"/>
          <w:szCs w:val="28"/>
        </w:rPr>
        <w:t xml:space="preserve">     </w:t>
      </w:r>
      <w:r>
        <w:rPr>
          <w:b/>
          <w:noProof/>
          <w:sz w:val="28"/>
          <w:szCs w:val="28"/>
        </w:rPr>
        <w:drawing>
          <wp:inline distT="0" distB="0" distL="0" distR="0">
            <wp:extent cx="1268083" cy="1191998"/>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 Angel Funding.jpg"/>
                    <pic:cNvPicPr/>
                  </pic:nvPicPr>
                  <pic:blipFill>
                    <a:blip r:embed="rId9">
                      <a:extLst>
                        <a:ext uri="{28A0092B-C50C-407E-A947-70E740481C1C}">
                          <a14:useLocalDpi xmlns:a14="http://schemas.microsoft.com/office/drawing/2010/main" val="0"/>
                        </a:ext>
                      </a:extLst>
                    </a:blip>
                    <a:stretch>
                      <a:fillRect/>
                    </a:stretch>
                  </pic:blipFill>
                  <pic:spPr>
                    <a:xfrm>
                      <a:off x="0" y="0"/>
                      <a:ext cx="1267127" cy="1191099"/>
                    </a:xfrm>
                    <a:prstGeom prst="rect">
                      <a:avLst/>
                    </a:prstGeom>
                  </pic:spPr>
                </pic:pic>
              </a:graphicData>
            </a:graphic>
          </wp:inline>
        </w:drawing>
      </w:r>
    </w:p>
    <w:p w:rsidR="005274F9" w:rsidRDefault="005274F9" w:rsidP="00054039">
      <w:pPr>
        <w:spacing w:line="240" w:lineRule="auto"/>
        <w:rPr>
          <w:b/>
          <w:sz w:val="28"/>
          <w:szCs w:val="28"/>
        </w:rPr>
      </w:pPr>
    </w:p>
    <w:p w:rsidR="00AD23B3" w:rsidRDefault="005725CC" w:rsidP="00054039">
      <w:pPr>
        <w:spacing w:line="240" w:lineRule="auto"/>
        <w:rPr>
          <w:b/>
          <w:sz w:val="28"/>
          <w:szCs w:val="28"/>
        </w:rPr>
      </w:pPr>
      <w:r>
        <w:rPr>
          <w:b/>
          <w:sz w:val="28"/>
          <w:szCs w:val="28"/>
        </w:rPr>
        <w:t xml:space="preserve">URGENT:  </w:t>
      </w:r>
      <w:r w:rsidR="00AD23B3">
        <w:rPr>
          <w:b/>
          <w:sz w:val="28"/>
          <w:szCs w:val="28"/>
        </w:rPr>
        <w:t xml:space="preserve">Join </w:t>
      </w:r>
      <w:r>
        <w:rPr>
          <w:b/>
          <w:sz w:val="28"/>
          <w:szCs w:val="28"/>
        </w:rPr>
        <w:t xml:space="preserve">ACA’s </w:t>
      </w:r>
      <w:r w:rsidR="00AD23B3">
        <w:rPr>
          <w:b/>
          <w:sz w:val="28"/>
          <w:szCs w:val="28"/>
        </w:rPr>
        <w:t xml:space="preserve">Campaign </w:t>
      </w:r>
      <w:r w:rsidR="00DA2BCB">
        <w:rPr>
          <w:b/>
          <w:sz w:val="28"/>
          <w:szCs w:val="28"/>
        </w:rPr>
        <w:t>to Protect Angel Funding</w:t>
      </w:r>
      <w:r w:rsidR="00D4461E">
        <w:rPr>
          <w:b/>
          <w:sz w:val="28"/>
          <w:szCs w:val="28"/>
        </w:rPr>
        <w:t xml:space="preserve"> </w:t>
      </w:r>
      <w:r w:rsidR="009E5807">
        <w:rPr>
          <w:b/>
          <w:sz w:val="28"/>
          <w:szCs w:val="28"/>
        </w:rPr>
        <w:t xml:space="preserve">and the </w:t>
      </w:r>
      <w:r w:rsidR="00AD23B3">
        <w:rPr>
          <w:b/>
          <w:sz w:val="28"/>
          <w:szCs w:val="28"/>
        </w:rPr>
        <w:t>Startup Ec</w:t>
      </w:r>
      <w:r>
        <w:rPr>
          <w:b/>
          <w:sz w:val="28"/>
          <w:szCs w:val="28"/>
        </w:rPr>
        <w:t>o</w:t>
      </w:r>
      <w:r w:rsidR="00AD23B3">
        <w:rPr>
          <w:b/>
          <w:sz w:val="28"/>
          <w:szCs w:val="28"/>
        </w:rPr>
        <w:t>system We Support</w:t>
      </w:r>
    </w:p>
    <w:p w:rsidR="00BA7D61" w:rsidRDefault="00BA7D61" w:rsidP="00054039">
      <w:pPr>
        <w:spacing w:line="240" w:lineRule="auto"/>
      </w:pPr>
    </w:p>
    <w:p w:rsidR="00AD23B3" w:rsidRDefault="00AD23B3" w:rsidP="00054039">
      <w:pPr>
        <w:spacing w:line="240" w:lineRule="auto"/>
      </w:pPr>
      <w:r>
        <w:t>T</w:t>
      </w:r>
      <w:r w:rsidR="00BA7D61">
        <w:t>he Securities and Exchange Commission</w:t>
      </w:r>
      <w:r>
        <w:t xml:space="preserve"> </w:t>
      </w:r>
      <w:r w:rsidR="00054039">
        <w:t xml:space="preserve">(SEC) </w:t>
      </w:r>
      <w:r>
        <w:t>is poised to revisit the existing definition of an individual accredited investor to determine whether it “should be adjusted or modified for the protection of investors, in the public interest, and in light of the economy.”</w:t>
      </w:r>
      <w:r w:rsidR="009E5807">
        <w:t xml:space="preserve">  </w:t>
      </w:r>
      <w:r>
        <w:t xml:space="preserve">This review was </w:t>
      </w:r>
      <w:r w:rsidR="00BA7D61">
        <w:t>required</w:t>
      </w:r>
      <w:r w:rsidR="008F56D5">
        <w:t xml:space="preserve"> by Congress</w:t>
      </w:r>
      <w:r w:rsidR="00BA7D61">
        <w:t xml:space="preserve"> </w:t>
      </w:r>
      <w:r w:rsidR="00935B87">
        <w:t>as part of the Dodd-</w:t>
      </w:r>
      <w:r>
        <w:t>Frank financial reform act, and will occur every four years starting in July of this year.</w:t>
      </w:r>
    </w:p>
    <w:p w:rsidR="00AD23B3" w:rsidRDefault="00AD23B3" w:rsidP="00054039">
      <w:pPr>
        <w:spacing w:line="240" w:lineRule="auto"/>
      </w:pPr>
    </w:p>
    <w:p w:rsidR="00AD23B3" w:rsidRDefault="00AD23B3" w:rsidP="00054039">
      <w:pPr>
        <w:spacing w:line="240" w:lineRule="auto"/>
      </w:pPr>
      <w:r>
        <w:t>The current accredited investor</w:t>
      </w:r>
      <w:r w:rsidR="00D4461E">
        <w:t xml:space="preserve"> </w:t>
      </w:r>
      <w:r>
        <w:t xml:space="preserve">definition includes individuals who have $1 million in net assets excluding a primary residence, or income of $200,000 if single and $300,000 if married.  </w:t>
      </w:r>
      <w:r w:rsidR="0069015B">
        <w:t>T</w:t>
      </w:r>
      <w:r>
        <w:t xml:space="preserve">hese thresholds were established in 1982, </w:t>
      </w:r>
      <w:r w:rsidR="0069015B">
        <w:t>and</w:t>
      </w:r>
      <w:r>
        <w:t xml:space="preserve"> have worked well to enable development a robust, accredited angel investing sector that operates in funding high-potential startups, with almost no fraud or abuse.</w:t>
      </w:r>
      <w:bookmarkStart w:id="0" w:name="_GoBack"/>
      <w:bookmarkEnd w:id="0"/>
    </w:p>
    <w:p w:rsidR="00AD23B3" w:rsidRDefault="00AD23B3" w:rsidP="00054039">
      <w:pPr>
        <w:spacing w:line="240" w:lineRule="auto"/>
      </w:pPr>
    </w:p>
    <w:p w:rsidR="00AD23B3" w:rsidRDefault="00AD23B3" w:rsidP="00054039">
      <w:pPr>
        <w:spacing w:line="240" w:lineRule="auto"/>
      </w:pPr>
      <w:r>
        <w:t>Nonetheless, there are</w:t>
      </w:r>
      <w:r w:rsidR="00BA7D61">
        <w:t xml:space="preserve"> powerful organizations </w:t>
      </w:r>
      <w:r>
        <w:t xml:space="preserve">working aggressively to see these thresholds increased in line with “inflation,” as a form of investor protection.  </w:t>
      </w:r>
      <w:r w:rsidR="0069015B">
        <w:t xml:space="preserve">Many </w:t>
      </w:r>
      <w:r w:rsidR="008C1231">
        <w:t>advocate increasing</w:t>
      </w:r>
      <w:r w:rsidR="009E5807">
        <w:t xml:space="preserve"> the net worth requirement to $2.5 million and </w:t>
      </w:r>
      <w:r w:rsidR="0069015B">
        <w:t xml:space="preserve">annual income to </w:t>
      </w:r>
      <w:r w:rsidR="009E5807">
        <w:t>$4</w:t>
      </w:r>
      <w:r w:rsidR="00332EE7">
        <w:t>50,000</w:t>
      </w:r>
      <w:r w:rsidR="009E5807">
        <w:t xml:space="preserve">.  </w:t>
      </w:r>
      <w:r>
        <w:t>Their efforts, if successful, would result in nearly 60 percent of current</w:t>
      </w:r>
      <w:r w:rsidR="00D4461E">
        <w:t xml:space="preserve"> </w:t>
      </w:r>
      <w:r>
        <w:t>accredited investors being shut out</w:t>
      </w:r>
      <w:r w:rsidR="00DA2BCB">
        <w:t xml:space="preserve"> based on numbers from the SEC itself</w:t>
      </w:r>
      <w:r w:rsidR="009E5807">
        <w:t>.</w:t>
      </w:r>
      <w:r w:rsidR="00795079">
        <w:t xml:space="preserve"> </w:t>
      </w:r>
    </w:p>
    <w:p w:rsidR="0069015B" w:rsidRDefault="0069015B" w:rsidP="00054039">
      <w:pPr>
        <w:spacing w:line="240" w:lineRule="auto"/>
      </w:pPr>
    </w:p>
    <w:p w:rsidR="009E5807" w:rsidRPr="008F56D5" w:rsidRDefault="009E5807" w:rsidP="009E5807">
      <w:pPr>
        <w:spacing w:line="240" w:lineRule="auto"/>
        <w:jc w:val="center"/>
        <w:rPr>
          <w:rFonts w:eastAsia="Times New Roman" w:cs="Arial"/>
          <w:b/>
          <w:color w:val="000000"/>
          <w:sz w:val="20"/>
          <w:szCs w:val="20"/>
        </w:rPr>
      </w:pPr>
      <w:r w:rsidRPr="008F56D5">
        <w:rPr>
          <w:rFonts w:eastAsia="Times New Roman" w:cs="Arial"/>
          <w:b/>
          <w:color w:val="000000"/>
          <w:sz w:val="20"/>
          <w:szCs w:val="20"/>
        </w:rPr>
        <w:t>Number of U.S. Households that Qualify as Accredited</w:t>
      </w:r>
    </w:p>
    <w:p w:rsidR="009E5807" w:rsidRPr="008F56D5" w:rsidRDefault="009E5807" w:rsidP="009E5807">
      <w:pPr>
        <w:spacing w:line="240" w:lineRule="auto"/>
        <w:jc w:val="center"/>
        <w:rPr>
          <w:rFonts w:eastAsia="Times New Roman" w:cs="Arial"/>
          <w:b/>
          <w:color w:val="000000"/>
          <w:sz w:val="20"/>
          <w:szCs w:val="20"/>
        </w:rPr>
      </w:pPr>
      <w:r w:rsidRPr="008F56D5">
        <w:rPr>
          <w:rFonts w:eastAsia="Times New Roman" w:cs="Arial"/>
          <w:b/>
          <w:color w:val="000000"/>
          <w:sz w:val="20"/>
          <w:szCs w:val="20"/>
        </w:rPr>
        <w:t>Investors Based on 2010 Net Worth*</w:t>
      </w:r>
    </w:p>
    <w:p w:rsidR="009E5807" w:rsidRDefault="00584CBF" w:rsidP="009E5807">
      <w:pPr>
        <w:spacing w:line="240" w:lineRule="auto"/>
        <w:jc w:val="center"/>
      </w:pPr>
      <w:r>
        <w:rPr>
          <w:noProof/>
        </w:rPr>
        <mc:AlternateContent>
          <mc:Choice Requires="wps">
            <w:drawing>
              <wp:anchor distT="0" distB="0" distL="114300" distR="114300" simplePos="0" relativeHeight="251662336" behindDoc="0" locked="0" layoutInCell="1" allowOverlap="1" wp14:anchorId="5A7152A7" wp14:editId="487CB825">
                <wp:simplePos x="0" y="0"/>
                <wp:positionH relativeFrom="column">
                  <wp:posOffset>846455</wp:posOffset>
                </wp:positionH>
                <wp:positionV relativeFrom="paragraph">
                  <wp:posOffset>2066290</wp:posOffset>
                </wp:positionV>
                <wp:extent cx="4251325" cy="380365"/>
                <wp:effectExtent l="0" t="0" r="158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380365"/>
                        </a:xfrm>
                        <a:prstGeom prst="rect">
                          <a:avLst/>
                        </a:prstGeom>
                        <a:solidFill>
                          <a:srgbClr val="FFFFFF"/>
                        </a:solidFill>
                        <a:ln w="9525">
                          <a:solidFill>
                            <a:schemeClr val="bg1">
                              <a:lumMod val="100000"/>
                              <a:lumOff val="0"/>
                            </a:schemeClr>
                          </a:solidFill>
                          <a:miter lim="800000"/>
                          <a:headEnd/>
                          <a:tailEnd/>
                        </a:ln>
                      </wps:spPr>
                      <wps:txbx>
                        <w:txbxContent>
                          <w:p w:rsidR="009E5807" w:rsidRPr="0087430F" w:rsidRDefault="009E5807" w:rsidP="009E5807">
                            <w:pPr>
                              <w:spacing w:line="240" w:lineRule="auto"/>
                              <w:rPr>
                                <w:sz w:val="16"/>
                                <w:szCs w:val="16"/>
                              </w:rPr>
                            </w:pPr>
                            <w:r w:rsidRPr="0087430F">
                              <w:rPr>
                                <w:sz w:val="16"/>
                                <w:szCs w:val="16"/>
                              </w:rPr>
                              <w:t xml:space="preserve">*SOURCE:  SEC Release No. 33-9415, </w:t>
                            </w:r>
                            <w:proofErr w:type="gramStart"/>
                            <w:r w:rsidRPr="0087430F">
                              <w:rPr>
                                <w:sz w:val="16"/>
                                <w:szCs w:val="16"/>
                              </w:rPr>
                              <w:t>Eliminating</w:t>
                            </w:r>
                            <w:proofErr w:type="gramEnd"/>
                            <w:r w:rsidRPr="0087430F">
                              <w:rPr>
                                <w:sz w:val="16"/>
                                <w:szCs w:val="16"/>
                              </w:rPr>
                              <w:t xml:space="preserve"> the Prohibition Against General Solicitation and General Advertising in Rule 506 and Rule 144A Offerings, Economic Analysis, page 75.</w:t>
                            </w:r>
                          </w:p>
                          <w:p w:rsidR="009E5807" w:rsidRDefault="009E5807" w:rsidP="009E58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65pt;margin-top:162.7pt;width:334.7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" strokecolor="white [3212]">
                <v:textbox>
                  <w:txbxContent>
                    <w:p w:rsidR="009E5807" w:rsidRPr="0087430F" w:rsidRDefault="009E5807" w:rsidP="009E5807">
                      <w:pPr>
                        <w:spacing w:line="240" w:lineRule="auto"/>
                        <w:rPr>
                          <w:sz w:val="16"/>
                          <w:szCs w:val="16"/>
                        </w:rPr>
                      </w:pPr>
                      <w:r w:rsidRPr="0087430F">
                        <w:rPr>
                          <w:sz w:val="16"/>
                          <w:szCs w:val="16"/>
                        </w:rPr>
                        <w:t xml:space="preserve">*SOURCE:  SEC Release No. 33-9415, </w:t>
                      </w:r>
                      <w:proofErr w:type="gramStart"/>
                      <w:r w:rsidRPr="0087430F">
                        <w:rPr>
                          <w:sz w:val="16"/>
                          <w:szCs w:val="16"/>
                        </w:rPr>
                        <w:t>Eliminating</w:t>
                      </w:r>
                      <w:proofErr w:type="gramEnd"/>
                      <w:r w:rsidRPr="0087430F">
                        <w:rPr>
                          <w:sz w:val="16"/>
                          <w:szCs w:val="16"/>
                        </w:rPr>
                        <w:t xml:space="preserve"> the Prohibition Against General Solicitation and General Advertising in Rule 506 and Rule 144A Offerings, Economic Analysis, page 75.</w:t>
                      </w:r>
                    </w:p>
                    <w:p w:rsidR="009E5807" w:rsidRDefault="009E5807" w:rsidP="009E5807"/>
                  </w:txbxContent>
                </v:textbox>
              </v:shape>
            </w:pict>
          </mc:Fallback>
        </mc:AlternateContent>
      </w:r>
      <w:r w:rsidR="009E5807">
        <w:rPr>
          <w:noProof/>
        </w:rPr>
        <w:drawing>
          <wp:inline distT="0" distB="0" distL="0" distR="0" wp14:anchorId="73B1375C" wp14:editId="70A5AF0B">
            <wp:extent cx="3754128"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hold Net Worth Re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2272" cy="2128683"/>
                    </a:xfrm>
                    <a:prstGeom prst="rect">
                      <a:avLst/>
                    </a:prstGeom>
                  </pic:spPr>
                </pic:pic>
              </a:graphicData>
            </a:graphic>
          </wp:inline>
        </w:drawing>
      </w:r>
    </w:p>
    <w:p w:rsidR="009E5807" w:rsidRDefault="009E5807" w:rsidP="009E5807">
      <w:pPr>
        <w:spacing w:line="240" w:lineRule="auto"/>
      </w:pPr>
    </w:p>
    <w:p w:rsidR="009E5807" w:rsidRDefault="009E5807" w:rsidP="00054039">
      <w:pPr>
        <w:spacing w:line="240" w:lineRule="auto"/>
      </w:pPr>
    </w:p>
    <w:p w:rsidR="00D4461E" w:rsidRDefault="00D4461E" w:rsidP="00054039">
      <w:pPr>
        <w:spacing w:line="240" w:lineRule="auto"/>
      </w:pPr>
      <w:r>
        <w:t>In our January survey of ACA members, found that 25% of our 12,000+ members</w:t>
      </w:r>
      <w:r w:rsidR="00DA2BCB">
        <w:t xml:space="preserve"> would become ineligible if </w:t>
      </w:r>
      <w:r>
        <w:t xml:space="preserve">these thresholds were raised.  Outside of California, Massachusetts and New York, that increases to nearly a third.  Such a drop would be devastating to angel groups and the early-stage companies we support at the most vital and fragile point in their development. </w:t>
      </w:r>
    </w:p>
    <w:p w:rsidR="00D4461E" w:rsidRDefault="00D4461E" w:rsidP="00054039">
      <w:pPr>
        <w:spacing w:line="240" w:lineRule="auto"/>
      </w:pPr>
    </w:p>
    <w:p w:rsidR="008C1231" w:rsidRDefault="005725CC" w:rsidP="00054039">
      <w:pPr>
        <w:spacing w:line="240" w:lineRule="auto"/>
      </w:pPr>
      <w:r>
        <w:lastRenderedPageBreak/>
        <w:t>Now that general solicitation is broadly available for private company offerings under Rule 506(c</w:t>
      </w:r>
      <w:r w:rsidR="009E5807">
        <w:t>)</w:t>
      </w:r>
      <w:r>
        <w:t xml:space="preserve">, </w:t>
      </w:r>
      <w:r w:rsidR="0069015B">
        <w:t xml:space="preserve">some </w:t>
      </w:r>
      <w:r>
        <w:t xml:space="preserve">consumer advocates and others </w:t>
      </w:r>
      <w:r w:rsidR="0069015B">
        <w:t>advocate</w:t>
      </w:r>
      <w:r>
        <w:t xml:space="preserve"> extreme restrictions on who may participate in private offerings – limiting </w:t>
      </w:r>
      <w:r w:rsidR="00D4461E">
        <w:t xml:space="preserve">it </w:t>
      </w:r>
      <w:r>
        <w:t>to just the most wealthy</w:t>
      </w:r>
      <w:r w:rsidR="00DA2BCB">
        <w:t xml:space="preserve"> three</w:t>
      </w:r>
      <w:r w:rsidR="00D4461E">
        <w:t xml:space="preserve"> percent of all households</w:t>
      </w:r>
      <w:r>
        <w:t xml:space="preserve">.  </w:t>
      </w:r>
      <w:r w:rsidR="00D4461E">
        <w:t>Some</w:t>
      </w:r>
      <w:r>
        <w:t xml:space="preserve"> argue that the definition </w:t>
      </w:r>
      <w:r w:rsidR="009E5807">
        <w:t>should</w:t>
      </w:r>
      <w:r w:rsidR="00D4461E">
        <w:t xml:space="preserve"> also</w:t>
      </w:r>
      <w:r w:rsidR="009E5807">
        <w:t xml:space="preserve"> </w:t>
      </w:r>
      <w:r>
        <w:t xml:space="preserve">be indexed </w:t>
      </w:r>
      <w:r w:rsidR="0069015B">
        <w:t>for</w:t>
      </w:r>
      <w:r>
        <w:t xml:space="preserve"> inflation on an ongoing basis – thus </w:t>
      </w:r>
      <w:r w:rsidR="0069015B">
        <w:t xml:space="preserve">practically </w:t>
      </w:r>
      <w:r>
        <w:t xml:space="preserve">ensuring that even those who are upwardly mobile stand little chance of qualifying </w:t>
      </w:r>
      <w:r w:rsidR="00054039">
        <w:t xml:space="preserve">as accredited investors in the future. </w:t>
      </w:r>
      <w:r w:rsidR="009E5807">
        <w:t xml:space="preserve"> </w:t>
      </w:r>
    </w:p>
    <w:p w:rsidR="008C1231" w:rsidRDefault="008C1231" w:rsidP="00054039">
      <w:pPr>
        <w:spacing w:line="240" w:lineRule="auto"/>
      </w:pPr>
    </w:p>
    <w:p w:rsidR="005725CC" w:rsidRDefault="009E5807" w:rsidP="00054039">
      <w:pPr>
        <w:spacing w:line="240" w:lineRule="auto"/>
      </w:pPr>
      <w:r>
        <w:t>The SEC is weighing these opposing views.</w:t>
      </w:r>
    </w:p>
    <w:p w:rsidR="00054039" w:rsidRDefault="00054039" w:rsidP="00054039">
      <w:pPr>
        <w:spacing w:line="240" w:lineRule="auto"/>
      </w:pPr>
    </w:p>
    <w:p w:rsidR="00054039" w:rsidRDefault="00054039" w:rsidP="00054039">
      <w:pPr>
        <w:spacing w:line="240" w:lineRule="auto"/>
      </w:pPr>
      <w:r>
        <w:t xml:space="preserve">We all recognize that such a dramatic drop in the number of accredited investors would </w:t>
      </w:r>
      <w:r w:rsidR="00D4461E">
        <w:t>cause dire harm to</w:t>
      </w:r>
      <w:r>
        <w:t xml:space="preserve"> the innovation economy and</w:t>
      </w:r>
      <w:r w:rsidR="00D4461E">
        <w:t xml:space="preserve"> its role in</w:t>
      </w:r>
      <w:r>
        <w:t xml:space="preserve"> job creation that angels – and only angels – support a</w:t>
      </w:r>
      <w:r w:rsidR="00C116D5">
        <w:t>t</w:t>
      </w:r>
      <w:r>
        <w:t xml:space="preserve"> the</w:t>
      </w:r>
      <w:r w:rsidR="00D4461E">
        <w:t>se</w:t>
      </w:r>
      <w:r>
        <w:t xml:space="preserve"> earliest stages.  </w:t>
      </w:r>
    </w:p>
    <w:p w:rsidR="005725CC" w:rsidRDefault="005725CC" w:rsidP="00054039">
      <w:pPr>
        <w:spacing w:line="240" w:lineRule="auto"/>
      </w:pPr>
    </w:p>
    <w:p w:rsidR="00BA7D61" w:rsidRDefault="005725CC" w:rsidP="00054039">
      <w:pPr>
        <w:spacing w:line="240" w:lineRule="auto"/>
      </w:pPr>
      <w:r>
        <w:t xml:space="preserve">SEC </w:t>
      </w:r>
      <w:r w:rsidR="0069015B">
        <w:t>officials</w:t>
      </w:r>
      <w:r>
        <w:t xml:space="preserve"> have </w:t>
      </w:r>
      <w:r w:rsidR="0069015B">
        <w:t xml:space="preserve">indicated they </w:t>
      </w:r>
      <w:r>
        <w:t xml:space="preserve">will consider alternative criteria for meeting the accredited investor definition.  These criteria </w:t>
      </w:r>
      <w:r w:rsidR="00681F26">
        <w:t xml:space="preserve">may </w:t>
      </w:r>
      <w:r>
        <w:t xml:space="preserve">include: </w:t>
      </w:r>
      <w:r w:rsidR="0087430F">
        <w:t>possession of professional certifications or degrees; ownership of a specific amount of investment securities; membership in an established angel group, or reliance on registered intermediaries.</w:t>
      </w:r>
      <w:r w:rsidR="00795079">
        <w:t xml:space="preserve"> </w:t>
      </w:r>
      <w:r w:rsidR="00B21784">
        <w:t xml:space="preserve"> </w:t>
      </w:r>
      <w:r w:rsidR="00D4461E">
        <w:t>ACA supports this approach</w:t>
      </w:r>
      <w:r w:rsidR="00DA2BCB">
        <w:t xml:space="preserve"> for individuals who do not meet the financial thresholds</w:t>
      </w:r>
      <w:r w:rsidR="00D4461E">
        <w:t xml:space="preserve"> to prudently broadening the definition in this manner.</w:t>
      </w:r>
    </w:p>
    <w:p w:rsidR="00A43275" w:rsidRDefault="00A43275" w:rsidP="00054039">
      <w:pPr>
        <w:spacing w:line="240" w:lineRule="auto"/>
      </w:pPr>
    </w:p>
    <w:p w:rsidR="009E209E" w:rsidRDefault="00C116D5" w:rsidP="00054039">
      <w:pPr>
        <w:spacing w:line="240" w:lineRule="auto"/>
      </w:pPr>
      <w:r>
        <w:t>ACA’s top priority is to ensure the SEC does not cause irre</w:t>
      </w:r>
      <w:r w:rsidR="00681F26">
        <w:t>versible</w:t>
      </w:r>
      <w:r>
        <w:t xml:space="preserve"> damage to angel investing </w:t>
      </w:r>
      <w:r w:rsidR="0069015B">
        <w:t>– and the early-stage companies we support that create most new jobs nationwide --</w:t>
      </w:r>
      <w:r>
        <w:t xml:space="preserve"> by imposing arbitrary inflation-adjustments that </w:t>
      </w:r>
      <w:r w:rsidR="009E209E">
        <w:t xml:space="preserve">essentially </w:t>
      </w:r>
      <w:r>
        <w:t xml:space="preserve">provide no investor protection in a market with minimal fraud risk, and a variety of existing remedies for the rare “bad actor” </w:t>
      </w:r>
      <w:r w:rsidR="009E5807">
        <w:t>that</w:t>
      </w:r>
      <w:r w:rsidR="009E209E">
        <w:t xml:space="preserve"> appear</w:t>
      </w:r>
      <w:r w:rsidR="009E5807">
        <w:t>s</w:t>
      </w:r>
      <w:r w:rsidR="009E209E">
        <w:t>.</w:t>
      </w:r>
    </w:p>
    <w:p w:rsidR="00D4461E" w:rsidRDefault="00D4461E" w:rsidP="00054039">
      <w:pPr>
        <w:spacing w:line="240" w:lineRule="auto"/>
      </w:pPr>
    </w:p>
    <w:p w:rsidR="00D4461E" w:rsidRDefault="00D4461E" w:rsidP="00054039">
      <w:pPr>
        <w:spacing w:line="240" w:lineRule="auto"/>
      </w:pPr>
      <w:r>
        <w:t xml:space="preserve">You can read ACA’s comment letter to the SEC on this issue at:  </w:t>
      </w:r>
      <w:hyperlink r:id="rId11" w:history="1">
        <w:r w:rsidR="003B4C37" w:rsidRPr="002116F8">
          <w:rPr>
            <w:rStyle w:val="Hyperlink"/>
          </w:rPr>
          <w:t>www.sec.gov/comments/s7-06-13/s70613.shtml</w:t>
        </w:r>
      </w:hyperlink>
      <w:r w:rsidR="002654DC">
        <w:t>. It is also available on our websit</w:t>
      </w:r>
      <w:r w:rsidR="003B4C37">
        <w:t>e</w:t>
      </w:r>
      <w:r w:rsidR="00DA2BCB">
        <w:t xml:space="preserve"> at: </w:t>
      </w:r>
      <w:hyperlink r:id="rId12" w:history="1">
        <w:r w:rsidR="003B4C37" w:rsidRPr="002116F8">
          <w:rPr>
            <w:rStyle w:val="Hyperlink"/>
          </w:rPr>
          <w:t>www.angelcapitalassociation.org/aca-public-policy-protect-angel-funding/</w:t>
        </w:r>
      </w:hyperlink>
      <w:r w:rsidR="003B4C37">
        <w:t xml:space="preserve">. </w:t>
      </w:r>
    </w:p>
    <w:p w:rsidR="009E209E" w:rsidRDefault="009E209E" w:rsidP="00054039">
      <w:pPr>
        <w:spacing w:line="240" w:lineRule="auto"/>
      </w:pPr>
    </w:p>
    <w:p w:rsidR="009E5807" w:rsidRPr="009E5807" w:rsidRDefault="009E5807" w:rsidP="00054039">
      <w:pPr>
        <w:spacing w:line="240" w:lineRule="auto"/>
        <w:rPr>
          <w:b/>
        </w:rPr>
      </w:pPr>
      <w:r w:rsidRPr="009E5807">
        <w:rPr>
          <w:b/>
        </w:rPr>
        <w:t>WE NEED YOUR HELP</w:t>
      </w:r>
    </w:p>
    <w:p w:rsidR="009E5807" w:rsidRDefault="009E5807" w:rsidP="00054039">
      <w:pPr>
        <w:spacing w:line="240" w:lineRule="auto"/>
      </w:pPr>
    </w:p>
    <w:p w:rsidR="00C116D5" w:rsidRDefault="00C116D5" w:rsidP="00054039">
      <w:pPr>
        <w:spacing w:line="240" w:lineRule="auto"/>
      </w:pPr>
      <w:r>
        <w:t xml:space="preserve">We urge you to join us in asking the SEC to maintain the existing $1 million and $200,000 limits, </w:t>
      </w:r>
      <w:r w:rsidR="005F2241">
        <w:t xml:space="preserve">and </w:t>
      </w:r>
      <w:r>
        <w:t>to further expand the c</w:t>
      </w:r>
      <w:r w:rsidR="007E61E2">
        <w:t xml:space="preserve">apital pool </w:t>
      </w:r>
      <w:r>
        <w:t xml:space="preserve">for these early-stage companies </w:t>
      </w:r>
      <w:r w:rsidR="00D57241">
        <w:t xml:space="preserve">by creating ways </w:t>
      </w:r>
      <w:r>
        <w:t xml:space="preserve">to qualify </w:t>
      </w:r>
      <w:r w:rsidR="00D57241">
        <w:t>individuals w</w:t>
      </w:r>
      <w:r>
        <w:t xml:space="preserve">ith requisite sophistication to invest in private offerings, even if they may not meet the thresholds. </w:t>
      </w:r>
    </w:p>
    <w:p w:rsidR="00C116D5" w:rsidRDefault="00C116D5" w:rsidP="00054039">
      <w:pPr>
        <w:spacing w:line="240" w:lineRule="auto"/>
      </w:pPr>
    </w:p>
    <w:p w:rsidR="009E209E" w:rsidRPr="009E209E" w:rsidRDefault="000F3D73" w:rsidP="00054039">
      <w:pPr>
        <w:spacing w:line="240" w:lineRule="auto"/>
        <w:rPr>
          <w:b/>
          <w:i/>
        </w:rPr>
      </w:pPr>
      <w:r>
        <w:rPr>
          <w:b/>
          <w:i/>
        </w:rPr>
        <w:t>ACA has prepared</w:t>
      </w:r>
      <w:r w:rsidR="009E209E" w:rsidRPr="009E209E">
        <w:rPr>
          <w:b/>
          <w:i/>
        </w:rPr>
        <w:t xml:space="preserve"> template letter</w:t>
      </w:r>
      <w:r w:rsidR="0069015B">
        <w:rPr>
          <w:b/>
          <w:i/>
        </w:rPr>
        <w:t>s</w:t>
      </w:r>
      <w:r w:rsidR="009E209E" w:rsidRPr="009E209E">
        <w:rPr>
          <w:b/>
          <w:i/>
        </w:rPr>
        <w:t xml:space="preserve"> you </w:t>
      </w:r>
      <w:r w:rsidR="0069015B">
        <w:rPr>
          <w:b/>
          <w:i/>
        </w:rPr>
        <w:t>may</w:t>
      </w:r>
      <w:r w:rsidR="009E209E" w:rsidRPr="009E209E">
        <w:rPr>
          <w:b/>
          <w:i/>
        </w:rPr>
        <w:t xml:space="preserve"> send to the SEC, to your Congressional representatives, and to local officials who are part of the vital ecosystem supporting startups and the jobs they create.  Feel free to revise and/or add your personal thoughts.</w:t>
      </w:r>
      <w:r>
        <w:rPr>
          <w:b/>
          <w:i/>
        </w:rPr>
        <w:t xml:space="preserve">  All of the templates are </w:t>
      </w:r>
      <w:r w:rsidR="003B4C37">
        <w:rPr>
          <w:b/>
          <w:i/>
        </w:rPr>
        <w:t xml:space="preserve">available at </w:t>
      </w:r>
      <w:hyperlink r:id="rId13" w:history="1">
        <w:r w:rsidR="003B4C37" w:rsidRPr="002116F8">
          <w:rPr>
            <w:rStyle w:val="Hyperlink"/>
            <w:b/>
            <w:i/>
          </w:rPr>
          <w:t>www.angelcapitalassociation.org/aca-public-policy-protect-angel-funding/</w:t>
        </w:r>
      </w:hyperlink>
      <w:r w:rsidR="003B4C37">
        <w:rPr>
          <w:b/>
          <w:i/>
        </w:rPr>
        <w:t xml:space="preserve">. </w:t>
      </w:r>
    </w:p>
    <w:p w:rsidR="009E209E" w:rsidRDefault="009E209E" w:rsidP="00054039">
      <w:pPr>
        <w:spacing w:line="240" w:lineRule="auto"/>
      </w:pPr>
    </w:p>
    <w:p w:rsidR="00C116D5" w:rsidRDefault="00C116D5" w:rsidP="00054039">
      <w:pPr>
        <w:spacing w:line="240" w:lineRule="auto"/>
      </w:pPr>
      <w:r>
        <w:t>A h</w:t>
      </w:r>
      <w:r w:rsidR="00CF2C9E">
        <w:t>ealthy early-stage capital market is critical to our economy</w:t>
      </w:r>
      <w:r>
        <w:t xml:space="preserve">, and serves the public interest by creating jobs and enabling innovative, talented entrepreneurs to create jobs and wealth.  </w:t>
      </w:r>
    </w:p>
    <w:p w:rsidR="00D57241" w:rsidRDefault="00D57241" w:rsidP="00054039">
      <w:pPr>
        <w:spacing w:line="240" w:lineRule="auto"/>
      </w:pPr>
    </w:p>
    <w:p w:rsidR="00215359" w:rsidRDefault="009E209E" w:rsidP="00054039">
      <w:pPr>
        <w:spacing w:line="240" w:lineRule="auto"/>
      </w:pPr>
      <w:r>
        <w:t>Please join us in supporting this vital issue, and making the voice of angels clearly heard.</w:t>
      </w:r>
    </w:p>
    <w:p w:rsidR="009E209E" w:rsidRDefault="009E209E" w:rsidP="00054039">
      <w:pPr>
        <w:spacing w:line="240" w:lineRule="auto"/>
      </w:pPr>
    </w:p>
    <w:p w:rsidR="009E209E" w:rsidRDefault="009E209E" w:rsidP="00054039">
      <w:pPr>
        <w:spacing w:line="240" w:lineRule="auto"/>
      </w:pPr>
      <w:r>
        <w:t xml:space="preserve">Sincerely, </w:t>
      </w:r>
    </w:p>
    <w:p w:rsidR="009E209E" w:rsidRDefault="009E209E" w:rsidP="00054039">
      <w:pPr>
        <w:spacing w:line="240" w:lineRule="auto"/>
      </w:pPr>
    </w:p>
    <w:p w:rsidR="009E209E" w:rsidRDefault="005274F9" w:rsidP="00054039">
      <w:pPr>
        <w:spacing w:line="240" w:lineRule="auto"/>
      </w:pPr>
      <w:r>
        <w:t>Marianne Hudson</w:t>
      </w:r>
    </w:p>
    <w:p w:rsidR="005274F9" w:rsidRDefault="005274F9" w:rsidP="00054039">
      <w:pPr>
        <w:spacing w:line="240" w:lineRule="auto"/>
      </w:pPr>
      <w:r>
        <w:t>Executive Director</w:t>
      </w:r>
    </w:p>
    <w:p w:rsidR="005274F9" w:rsidRDefault="005274F9" w:rsidP="00054039">
      <w:pPr>
        <w:spacing w:line="240" w:lineRule="auto"/>
      </w:pPr>
      <w:r>
        <w:t>Angel Capital Association</w:t>
      </w:r>
    </w:p>
    <w:p w:rsidR="005274F9" w:rsidRDefault="00332EE7" w:rsidP="00054039">
      <w:pPr>
        <w:spacing w:line="240" w:lineRule="auto"/>
      </w:pPr>
      <w:hyperlink r:id="rId14" w:history="1">
        <w:r w:rsidR="005274F9" w:rsidRPr="002A7363">
          <w:rPr>
            <w:rStyle w:val="Hyperlink"/>
          </w:rPr>
          <w:t>mhudson@angelcapitalassociation.org</w:t>
        </w:r>
      </w:hyperlink>
      <w:r w:rsidR="005274F9">
        <w:t xml:space="preserve"> </w:t>
      </w:r>
    </w:p>
    <w:sectPr w:rsidR="005274F9" w:rsidSect="005274F9">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0B" w:rsidRDefault="00240E0B" w:rsidP="00024AF9">
      <w:pPr>
        <w:spacing w:line="240" w:lineRule="auto"/>
      </w:pPr>
      <w:r>
        <w:separator/>
      </w:r>
    </w:p>
  </w:endnote>
  <w:endnote w:type="continuationSeparator" w:id="0">
    <w:p w:rsidR="00240E0B" w:rsidRDefault="00240E0B" w:rsidP="00024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0B" w:rsidRDefault="00240E0B" w:rsidP="00024AF9">
      <w:pPr>
        <w:spacing w:line="240" w:lineRule="auto"/>
      </w:pPr>
      <w:r>
        <w:separator/>
      </w:r>
    </w:p>
  </w:footnote>
  <w:footnote w:type="continuationSeparator" w:id="0">
    <w:p w:rsidR="00240E0B" w:rsidRDefault="00240E0B" w:rsidP="00024A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64CD"/>
    <w:multiLevelType w:val="hybridMultilevel"/>
    <w:tmpl w:val="EAE28D38"/>
    <w:lvl w:ilvl="0" w:tplc="AFB64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61"/>
    <w:rsid w:val="0000461B"/>
    <w:rsid w:val="00024AF9"/>
    <w:rsid w:val="00054039"/>
    <w:rsid w:val="00062BA9"/>
    <w:rsid w:val="000B1AFD"/>
    <w:rsid w:val="000F3D73"/>
    <w:rsid w:val="00192038"/>
    <w:rsid w:val="00215359"/>
    <w:rsid w:val="00232C62"/>
    <w:rsid w:val="00240E0B"/>
    <w:rsid w:val="002654DC"/>
    <w:rsid w:val="002C0F1E"/>
    <w:rsid w:val="0031144A"/>
    <w:rsid w:val="00332EE7"/>
    <w:rsid w:val="003B4C37"/>
    <w:rsid w:val="005274F9"/>
    <w:rsid w:val="00553949"/>
    <w:rsid w:val="005725CC"/>
    <w:rsid w:val="00584CBF"/>
    <w:rsid w:val="005F2241"/>
    <w:rsid w:val="00681F26"/>
    <w:rsid w:val="0069015B"/>
    <w:rsid w:val="00795079"/>
    <w:rsid w:val="00796886"/>
    <w:rsid w:val="007E61E2"/>
    <w:rsid w:val="0087430F"/>
    <w:rsid w:val="008C1231"/>
    <w:rsid w:val="008E7FEA"/>
    <w:rsid w:val="008F56D5"/>
    <w:rsid w:val="009008EC"/>
    <w:rsid w:val="00935B87"/>
    <w:rsid w:val="00946149"/>
    <w:rsid w:val="00970C05"/>
    <w:rsid w:val="00986EA4"/>
    <w:rsid w:val="009C5485"/>
    <w:rsid w:val="009E209E"/>
    <w:rsid w:val="009E5807"/>
    <w:rsid w:val="00A43275"/>
    <w:rsid w:val="00A452ED"/>
    <w:rsid w:val="00AD23B3"/>
    <w:rsid w:val="00B21784"/>
    <w:rsid w:val="00BA7D61"/>
    <w:rsid w:val="00BD690B"/>
    <w:rsid w:val="00C116D5"/>
    <w:rsid w:val="00C84CAC"/>
    <w:rsid w:val="00CF2C9E"/>
    <w:rsid w:val="00D3588D"/>
    <w:rsid w:val="00D4461E"/>
    <w:rsid w:val="00D57241"/>
    <w:rsid w:val="00D66383"/>
    <w:rsid w:val="00DA247A"/>
    <w:rsid w:val="00DA2BCB"/>
    <w:rsid w:val="00E65883"/>
    <w:rsid w:val="00E6780B"/>
    <w:rsid w:val="00F4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EC"/>
    <w:rPr>
      <w:rFonts w:ascii="Tahoma" w:hAnsi="Tahoma" w:cs="Tahoma"/>
      <w:sz w:val="16"/>
      <w:szCs w:val="16"/>
    </w:rPr>
  </w:style>
  <w:style w:type="paragraph" w:styleId="FootnoteText">
    <w:name w:val="footnote text"/>
    <w:basedOn w:val="Normal"/>
    <w:link w:val="FootnoteTextChar"/>
    <w:uiPriority w:val="99"/>
    <w:unhideWhenUsed/>
    <w:rsid w:val="00024AF9"/>
    <w:pPr>
      <w:spacing w:line="240" w:lineRule="auto"/>
    </w:pPr>
    <w:rPr>
      <w:sz w:val="20"/>
      <w:szCs w:val="20"/>
    </w:rPr>
  </w:style>
  <w:style w:type="character" w:customStyle="1" w:styleId="FootnoteTextChar">
    <w:name w:val="Footnote Text Char"/>
    <w:basedOn w:val="DefaultParagraphFont"/>
    <w:link w:val="FootnoteText"/>
    <w:uiPriority w:val="99"/>
    <w:rsid w:val="00024AF9"/>
    <w:rPr>
      <w:sz w:val="20"/>
      <w:szCs w:val="20"/>
    </w:rPr>
  </w:style>
  <w:style w:type="character" w:styleId="FootnoteReference">
    <w:name w:val="footnote reference"/>
    <w:basedOn w:val="DefaultParagraphFont"/>
    <w:uiPriority w:val="99"/>
    <w:semiHidden/>
    <w:unhideWhenUsed/>
    <w:rsid w:val="00024AF9"/>
    <w:rPr>
      <w:vertAlign w:val="superscript"/>
    </w:rPr>
  </w:style>
  <w:style w:type="paragraph" w:styleId="ListParagraph">
    <w:name w:val="List Paragraph"/>
    <w:basedOn w:val="Normal"/>
    <w:uiPriority w:val="34"/>
    <w:qFormat/>
    <w:rsid w:val="00215359"/>
    <w:pPr>
      <w:ind w:left="720"/>
      <w:contextualSpacing/>
    </w:pPr>
  </w:style>
  <w:style w:type="character" w:styleId="Hyperlink">
    <w:name w:val="Hyperlink"/>
    <w:basedOn w:val="DefaultParagraphFont"/>
    <w:uiPriority w:val="99"/>
    <w:unhideWhenUsed/>
    <w:rsid w:val="00265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EC"/>
    <w:rPr>
      <w:rFonts w:ascii="Tahoma" w:hAnsi="Tahoma" w:cs="Tahoma"/>
      <w:sz w:val="16"/>
      <w:szCs w:val="16"/>
    </w:rPr>
  </w:style>
  <w:style w:type="paragraph" w:styleId="FootnoteText">
    <w:name w:val="footnote text"/>
    <w:basedOn w:val="Normal"/>
    <w:link w:val="FootnoteTextChar"/>
    <w:uiPriority w:val="99"/>
    <w:unhideWhenUsed/>
    <w:rsid w:val="00024AF9"/>
    <w:pPr>
      <w:spacing w:line="240" w:lineRule="auto"/>
    </w:pPr>
    <w:rPr>
      <w:sz w:val="20"/>
      <w:szCs w:val="20"/>
    </w:rPr>
  </w:style>
  <w:style w:type="character" w:customStyle="1" w:styleId="FootnoteTextChar">
    <w:name w:val="Footnote Text Char"/>
    <w:basedOn w:val="DefaultParagraphFont"/>
    <w:link w:val="FootnoteText"/>
    <w:uiPriority w:val="99"/>
    <w:rsid w:val="00024AF9"/>
    <w:rPr>
      <w:sz w:val="20"/>
      <w:szCs w:val="20"/>
    </w:rPr>
  </w:style>
  <w:style w:type="character" w:styleId="FootnoteReference">
    <w:name w:val="footnote reference"/>
    <w:basedOn w:val="DefaultParagraphFont"/>
    <w:uiPriority w:val="99"/>
    <w:semiHidden/>
    <w:unhideWhenUsed/>
    <w:rsid w:val="00024AF9"/>
    <w:rPr>
      <w:vertAlign w:val="superscript"/>
    </w:rPr>
  </w:style>
  <w:style w:type="paragraph" w:styleId="ListParagraph">
    <w:name w:val="List Paragraph"/>
    <w:basedOn w:val="Normal"/>
    <w:uiPriority w:val="34"/>
    <w:qFormat/>
    <w:rsid w:val="00215359"/>
    <w:pPr>
      <w:ind w:left="720"/>
      <w:contextualSpacing/>
    </w:pPr>
  </w:style>
  <w:style w:type="character" w:styleId="Hyperlink">
    <w:name w:val="Hyperlink"/>
    <w:basedOn w:val="DefaultParagraphFont"/>
    <w:uiPriority w:val="99"/>
    <w:unhideWhenUsed/>
    <w:rsid w:val="00265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gelcapitalassociation.org/aca-public-policy-protect-angel-fund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gelcapitalassociation.org/aca-public-policy-protect-angel-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gov/comments/s7-06-13/s70613.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hudson@angelcapital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Angel Capital</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Hudson</dc:creator>
  <cp:lastModifiedBy>Marianne Hudson</cp:lastModifiedBy>
  <cp:revision>10</cp:revision>
  <cp:lastPrinted>2014-05-20T15:28:00Z</cp:lastPrinted>
  <dcterms:created xsi:type="dcterms:W3CDTF">2014-05-18T15:50:00Z</dcterms:created>
  <dcterms:modified xsi:type="dcterms:W3CDTF">2014-05-20T15:29:00Z</dcterms:modified>
</cp:coreProperties>
</file>